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2F3" w:rsidRDefault="001706CE">
      <w:pPr>
        <w:widowControl w:val="0"/>
        <w:shd w:val="clear" w:color="auto" w:fill="FFFFFF"/>
        <w:adjustRightInd w:val="0"/>
        <w:snapToGrid w:val="0"/>
        <w:ind w:firstLineChars="0" w:firstLine="0"/>
        <w:jc w:val="center"/>
        <w:outlineLvl w:val="0"/>
        <w:rPr>
          <w:rFonts w:ascii="方正小标宋简体" w:eastAsia="方正小标宋简体" w:hAnsi="方正小标宋简体" w:cs="宋体"/>
          <w:bCs/>
          <w:kern w:val="36"/>
          <w:sz w:val="36"/>
          <w:szCs w:val="36"/>
        </w:rPr>
      </w:pPr>
      <w:r>
        <w:rPr>
          <w:rFonts w:ascii="方正小标宋简体" w:eastAsia="方正小标宋简体" w:hAnsi="方正小标宋简体" w:cs="宋体"/>
          <w:bCs/>
          <w:kern w:val="36"/>
          <w:sz w:val="36"/>
          <w:szCs w:val="36"/>
        </w:rPr>
        <w:t>中国体育彩票超级大乐透游戏风险控制</w:t>
      </w:r>
      <w:r>
        <w:rPr>
          <w:rFonts w:ascii="方正小标宋简体" w:eastAsia="方正小标宋简体" w:hAnsi="方正小标宋简体" w:cs="宋体" w:hint="eastAsia"/>
          <w:bCs/>
          <w:kern w:val="36"/>
          <w:sz w:val="36"/>
          <w:szCs w:val="36"/>
        </w:rPr>
        <w:t>方案</w:t>
      </w:r>
    </w:p>
    <w:p w:rsidR="00AD32F3" w:rsidRDefault="00AD32F3">
      <w:pPr>
        <w:shd w:val="clear" w:color="auto" w:fill="FFFFFF"/>
        <w:adjustRightInd w:val="0"/>
        <w:snapToGrid w:val="0"/>
        <w:spacing w:line="336" w:lineRule="auto"/>
        <w:ind w:firstLine="600"/>
        <w:rPr>
          <w:rFonts w:hAnsi="仿宋" w:cs="宋体"/>
          <w:kern w:val="0"/>
        </w:rPr>
      </w:pPr>
    </w:p>
    <w:p w:rsidR="00AD32F3" w:rsidRDefault="001706CE">
      <w:pPr>
        <w:widowControl w:val="0"/>
        <w:shd w:val="clear" w:color="auto" w:fill="FFFFFF"/>
        <w:adjustRightInd w:val="0"/>
        <w:snapToGrid w:val="0"/>
        <w:spacing w:line="324" w:lineRule="auto"/>
        <w:ind w:firstLine="630"/>
        <w:rPr>
          <w:rFonts w:hAnsi="仿宋" w:cs="宋体"/>
          <w:w w:val="99"/>
          <w:kern w:val="0"/>
          <w:sz w:val="32"/>
          <w:szCs w:val="32"/>
        </w:rPr>
      </w:pPr>
      <w:r>
        <w:rPr>
          <w:rFonts w:hAnsi="仿宋" w:cs="宋体"/>
          <w:w w:val="99"/>
          <w:kern w:val="0"/>
          <w:sz w:val="32"/>
          <w:szCs w:val="32"/>
        </w:rPr>
        <w:t>为防范中国体育彩票超级大乐透游戏（以下简称超级大乐透）发行销售风险，保障彩票游戏和市场的健康稳定发展，超级大乐</w:t>
      </w:r>
      <w:proofErr w:type="gramStart"/>
      <w:r>
        <w:rPr>
          <w:rFonts w:hAnsi="仿宋" w:cs="宋体"/>
          <w:w w:val="99"/>
          <w:kern w:val="0"/>
          <w:sz w:val="32"/>
          <w:szCs w:val="32"/>
        </w:rPr>
        <w:t>透设置单期最大返</w:t>
      </w:r>
      <w:proofErr w:type="gramEnd"/>
      <w:r>
        <w:rPr>
          <w:rFonts w:hAnsi="仿宋" w:cs="宋体"/>
          <w:w w:val="99"/>
          <w:kern w:val="0"/>
          <w:sz w:val="32"/>
          <w:szCs w:val="32"/>
        </w:rPr>
        <w:t>奖总额,</w:t>
      </w:r>
      <w:r>
        <w:rPr>
          <w:rFonts w:hAnsi="仿宋" w:cs="宋体" w:hint="eastAsia"/>
          <w:w w:val="99"/>
          <w:kern w:val="0"/>
          <w:sz w:val="32"/>
          <w:szCs w:val="32"/>
        </w:rPr>
        <w:t>并实行限额赔付</w:t>
      </w:r>
      <w:r>
        <w:rPr>
          <w:rFonts w:hAnsi="仿宋" w:cs="宋体"/>
          <w:w w:val="99"/>
          <w:kern w:val="0"/>
          <w:sz w:val="32"/>
          <w:szCs w:val="32"/>
        </w:rPr>
        <w:t>。具体规定如下：</w:t>
      </w:r>
    </w:p>
    <w:p w:rsidR="00AD32F3" w:rsidRDefault="001706CE">
      <w:pPr>
        <w:widowControl w:val="0"/>
        <w:shd w:val="clear" w:color="auto" w:fill="FFFFFF"/>
        <w:adjustRightInd w:val="0"/>
        <w:snapToGrid w:val="0"/>
        <w:spacing w:line="324" w:lineRule="auto"/>
        <w:ind w:firstLine="630"/>
        <w:rPr>
          <w:rFonts w:ascii="黑体" w:eastAsia="黑体" w:hAnsi="黑体" w:cs="宋体"/>
          <w:bCs/>
          <w:w w:val="99"/>
          <w:kern w:val="0"/>
          <w:sz w:val="32"/>
          <w:szCs w:val="32"/>
        </w:rPr>
      </w:pPr>
      <w:r>
        <w:rPr>
          <w:rFonts w:ascii="黑体" w:eastAsia="黑体" w:hAnsi="黑体" w:cs="宋体"/>
          <w:w w:val="99"/>
          <w:kern w:val="0"/>
          <w:sz w:val="32"/>
          <w:szCs w:val="32"/>
        </w:rPr>
        <w:t>一、</w:t>
      </w:r>
      <w:r>
        <w:rPr>
          <w:rFonts w:ascii="黑体" w:eastAsia="黑体" w:hAnsi="黑体" w:cs="宋体" w:hint="eastAsia"/>
          <w:w w:val="99"/>
          <w:kern w:val="0"/>
          <w:sz w:val="32"/>
          <w:szCs w:val="32"/>
        </w:rPr>
        <w:t>资金使用规则</w:t>
      </w:r>
    </w:p>
    <w:p w:rsidR="00AD32F3" w:rsidRDefault="001706CE">
      <w:pPr>
        <w:widowControl w:val="0"/>
        <w:shd w:val="clear" w:color="auto" w:fill="FFFFFF"/>
        <w:adjustRightInd w:val="0"/>
        <w:snapToGrid w:val="0"/>
        <w:spacing w:line="324" w:lineRule="auto"/>
        <w:ind w:firstLine="630"/>
        <w:rPr>
          <w:rFonts w:hAnsi="仿宋" w:cs="宋体"/>
          <w:w w:val="99"/>
          <w:kern w:val="0"/>
          <w:sz w:val="32"/>
          <w:szCs w:val="32"/>
        </w:rPr>
      </w:pPr>
      <w:r>
        <w:rPr>
          <w:rFonts w:hAnsi="仿宋" w:cs="宋体" w:hint="eastAsia"/>
          <w:w w:val="99"/>
          <w:kern w:val="0"/>
          <w:sz w:val="32"/>
          <w:szCs w:val="32"/>
        </w:rPr>
        <w:t>超级大乐透调节基金余额优先</w:t>
      </w:r>
      <w:r>
        <w:rPr>
          <w:rFonts w:hAnsi="仿宋" w:cs="宋体"/>
          <w:w w:val="99"/>
          <w:kern w:val="0"/>
          <w:sz w:val="32"/>
          <w:szCs w:val="32"/>
        </w:rPr>
        <w:t>支付当期</w:t>
      </w:r>
      <w:proofErr w:type="gramStart"/>
      <w:r>
        <w:rPr>
          <w:rFonts w:hAnsi="仿宋" w:cs="宋体"/>
          <w:w w:val="99"/>
          <w:kern w:val="0"/>
          <w:sz w:val="32"/>
          <w:szCs w:val="32"/>
        </w:rPr>
        <w:t>固定奖</w:t>
      </w:r>
      <w:proofErr w:type="gramEnd"/>
      <w:r>
        <w:rPr>
          <w:rFonts w:hAnsi="仿宋" w:cs="宋体" w:hint="eastAsia"/>
          <w:w w:val="99"/>
          <w:kern w:val="0"/>
          <w:sz w:val="32"/>
          <w:szCs w:val="32"/>
        </w:rPr>
        <w:t>奖金，然后支付浮动奖奖金。</w:t>
      </w:r>
    </w:p>
    <w:p w:rsidR="00AD32F3" w:rsidRDefault="001706CE">
      <w:pPr>
        <w:widowControl w:val="0"/>
        <w:shd w:val="clear" w:color="auto" w:fill="FFFFFF"/>
        <w:adjustRightInd w:val="0"/>
        <w:snapToGrid w:val="0"/>
        <w:spacing w:line="324" w:lineRule="auto"/>
        <w:ind w:firstLine="630"/>
        <w:rPr>
          <w:rFonts w:ascii="黑体" w:eastAsia="黑体" w:hAnsi="黑体" w:cs="宋体"/>
          <w:w w:val="99"/>
          <w:kern w:val="0"/>
          <w:sz w:val="32"/>
          <w:szCs w:val="32"/>
        </w:rPr>
      </w:pPr>
      <w:r>
        <w:rPr>
          <w:rFonts w:ascii="黑体" w:eastAsia="黑体" w:hAnsi="黑体" w:cs="宋体"/>
          <w:w w:val="99"/>
          <w:kern w:val="0"/>
          <w:sz w:val="32"/>
          <w:szCs w:val="32"/>
        </w:rPr>
        <w:t>二、</w:t>
      </w:r>
      <w:proofErr w:type="gramStart"/>
      <w:r>
        <w:rPr>
          <w:rFonts w:ascii="黑体" w:eastAsia="黑体" w:hAnsi="黑体" w:cs="宋体"/>
          <w:w w:val="99"/>
          <w:kern w:val="0"/>
          <w:sz w:val="32"/>
          <w:szCs w:val="32"/>
        </w:rPr>
        <w:t>固定奖</w:t>
      </w:r>
      <w:proofErr w:type="gramEnd"/>
      <w:r>
        <w:rPr>
          <w:rFonts w:ascii="黑体" w:eastAsia="黑体" w:hAnsi="黑体" w:cs="宋体"/>
          <w:w w:val="99"/>
          <w:kern w:val="0"/>
          <w:sz w:val="32"/>
          <w:szCs w:val="32"/>
        </w:rPr>
        <w:t>奖金</w:t>
      </w:r>
    </w:p>
    <w:p w:rsidR="00AD32F3" w:rsidRDefault="001706CE">
      <w:pPr>
        <w:widowControl w:val="0"/>
        <w:shd w:val="clear" w:color="auto" w:fill="FFFFFF"/>
        <w:adjustRightInd w:val="0"/>
        <w:snapToGrid w:val="0"/>
        <w:spacing w:line="324" w:lineRule="auto"/>
        <w:ind w:firstLine="630"/>
        <w:rPr>
          <w:rFonts w:hAnsi="仿宋" w:cs="Calibri"/>
          <w:w w:val="99"/>
          <w:kern w:val="0"/>
          <w:sz w:val="32"/>
          <w:szCs w:val="32"/>
        </w:rPr>
      </w:pPr>
      <w:r>
        <w:rPr>
          <w:rFonts w:hAnsi="仿宋" w:cs="Calibri"/>
          <w:w w:val="99"/>
          <w:kern w:val="0"/>
          <w:sz w:val="32"/>
          <w:szCs w:val="32"/>
        </w:rPr>
        <w:t>当期</w:t>
      </w:r>
      <w:proofErr w:type="gramStart"/>
      <w:r>
        <w:rPr>
          <w:rFonts w:hAnsi="仿宋" w:cs="Calibri"/>
          <w:w w:val="99"/>
          <w:kern w:val="0"/>
          <w:sz w:val="32"/>
          <w:szCs w:val="32"/>
        </w:rPr>
        <w:t>固定奖最大返</w:t>
      </w:r>
      <w:proofErr w:type="gramEnd"/>
      <w:r>
        <w:rPr>
          <w:rFonts w:hAnsi="仿宋" w:cs="Calibri"/>
          <w:w w:val="99"/>
          <w:kern w:val="0"/>
          <w:sz w:val="32"/>
          <w:szCs w:val="32"/>
        </w:rPr>
        <w:t>奖总额</w:t>
      </w:r>
      <w:r>
        <w:rPr>
          <w:rFonts w:hAnsi="仿宋" w:cs="Calibri" w:hint="eastAsia"/>
          <w:w w:val="99"/>
          <w:kern w:val="0"/>
          <w:sz w:val="32"/>
          <w:szCs w:val="32"/>
        </w:rPr>
        <w:t>＝</w:t>
      </w:r>
      <w:r>
        <w:rPr>
          <w:rFonts w:hAnsi="仿宋" w:cs="Calibri"/>
          <w:w w:val="99"/>
          <w:kern w:val="0"/>
          <w:sz w:val="32"/>
          <w:szCs w:val="32"/>
        </w:rPr>
        <w:t>当期奖金额</w:t>
      </w:r>
      <w:r>
        <w:rPr>
          <w:rFonts w:hAnsi="仿宋" w:cs="Calibri" w:hint="eastAsia"/>
          <w:w w:val="99"/>
          <w:kern w:val="0"/>
          <w:sz w:val="32"/>
          <w:szCs w:val="32"/>
        </w:rPr>
        <w:t>＋</w:t>
      </w:r>
      <w:r>
        <w:rPr>
          <w:rFonts w:hAnsi="仿宋" w:cs="Calibri"/>
          <w:w w:val="99"/>
          <w:kern w:val="0"/>
          <w:sz w:val="32"/>
          <w:szCs w:val="32"/>
        </w:rPr>
        <w:t>上期开奖后调节基金余额</w:t>
      </w:r>
      <w:r>
        <w:rPr>
          <w:rFonts w:hAnsi="仿宋" w:cs="Calibri" w:hint="eastAsia"/>
          <w:w w:val="99"/>
          <w:kern w:val="0"/>
          <w:sz w:val="32"/>
          <w:szCs w:val="32"/>
        </w:rPr>
        <w:t>＋</w:t>
      </w:r>
      <w:r>
        <w:rPr>
          <w:rFonts w:hAnsi="仿宋" w:cs="Calibri"/>
          <w:w w:val="99"/>
          <w:kern w:val="0"/>
          <w:sz w:val="32"/>
          <w:szCs w:val="32"/>
        </w:rPr>
        <w:t>当期调节基金计提金额</w:t>
      </w:r>
      <w:r>
        <w:rPr>
          <w:rFonts w:hAnsi="仿宋" w:cs="Calibri" w:hint="eastAsia"/>
          <w:w w:val="99"/>
          <w:kern w:val="0"/>
          <w:sz w:val="32"/>
          <w:szCs w:val="32"/>
        </w:rPr>
        <w:t>（若需偿还彩票兑奖周转金，则为偿还后的余额）</w:t>
      </w:r>
    </w:p>
    <w:p w:rsidR="00AD32F3" w:rsidRDefault="001706CE">
      <w:pPr>
        <w:widowControl w:val="0"/>
        <w:shd w:val="clear" w:color="auto" w:fill="FFFFFF"/>
        <w:adjustRightInd w:val="0"/>
        <w:snapToGrid w:val="0"/>
        <w:spacing w:line="324" w:lineRule="auto"/>
        <w:ind w:firstLine="630"/>
        <w:rPr>
          <w:rFonts w:hAnsi="仿宋" w:cs="Calibri"/>
          <w:w w:val="99"/>
          <w:kern w:val="0"/>
          <w:sz w:val="32"/>
          <w:szCs w:val="32"/>
        </w:rPr>
      </w:pPr>
      <w:r>
        <w:rPr>
          <w:rFonts w:hAnsi="仿宋" w:cs="宋体"/>
          <w:w w:val="99"/>
          <w:kern w:val="0"/>
          <w:sz w:val="32"/>
          <w:szCs w:val="32"/>
        </w:rPr>
        <w:t>若当期</w:t>
      </w:r>
      <w:proofErr w:type="gramStart"/>
      <w:r>
        <w:rPr>
          <w:rFonts w:hAnsi="仿宋" w:cs="宋体" w:hint="eastAsia"/>
          <w:w w:val="99"/>
          <w:kern w:val="0"/>
          <w:sz w:val="32"/>
          <w:szCs w:val="32"/>
        </w:rPr>
        <w:t>固定奖</w:t>
      </w:r>
      <w:r>
        <w:rPr>
          <w:rFonts w:hAnsi="仿宋" w:cs="宋体"/>
          <w:w w:val="99"/>
          <w:kern w:val="0"/>
          <w:sz w:val="32"/>
          <w:szCs w:val="32"/>
        </w:rPr>
        <w:t>最大返</w:t>
      </w:r>
      <w:proofErr w:type="gramEnd"/>
      <w:r>
        <w:rPr>
          <w:rFonts w:hAnsi="仿宋" w:cs="宋体"/>
          <w:w w:val="99"/>
          <w:kern w:val="0"/>
          <w:sz w:val="32"/>
          <w:szCs w:val="32"/>
        </w:rPr>
        <w:t>奖总额不足以支付</w:t>
      </w:r>
      <w:proofErr w:type="gramStart"/>
      <w:r>
        <w:rPr>
          <w:rFonts w:hAnsi="仿宋" w:cs="宋体"/>
          <w:w w:val="99"/>
          <w:kern w:val="0"/>
          <w:sz w:val="32"/>
          <w:szCs w:val="32"/>
        </w:rPr>
        <w:t>固定</w:t>
      </w:r>
      <w:proofErr w:type="gramEnd"/>
      <w:r>
        <w:rPr>
          <w:rFonts w:hAnsi="仿宋" w:cs="宋体"/>
          <w:w w:val="99"/>
          <w:kern w:val="0"/>
          <w:sz w:val="32"/>
          <w:szCs w:val="32"/>
        </w:rPr>
        <w:t>奖奖金，</w:t>
      </w:r>
      <w:r>
        <w:rPr>
          <w:rFonts w:hAnsi="仿宋" w:cs="Calibri" w:hint="eastAsia"/>
          <w:w w:val="99"/>
          <w:kern w:val="0"/>
          <w:sz w:val="32"/>
          <w:szCs w:val="32"/>
        </w:rPr>
        <w:t>则当期</w:t>
      </w:r>
      <w:proofErr w:type="gramStart"/>
      <w:r>
        <w:rPr>
          <w:rFonts w:hAnsi="仿宋" w:cs="Calibri" w:hint="eastAsia"/>
          <w:w w:val="99"/>
          <w:kern w:val="0"/>
          <w:sz w:val="32"/>
          <w:szCs w:val="32"/>
        </w:rPr>
        <w:t>固定</w:t>
      </w:r>
      <w:proofErr w:type="gramEnd"/>
      <w:r>
        <w:rPr>
          <w:rFonts w:hAnsi="仿宋" w:cs="Calibri" w:hint="eastAsia"/>
          <w:w w:val="99"/>
          <w:kern w:val="0"/>
          <w:sz w:val="32"/>
          <w:szCs w:val="32"/>
        </w:rPr>
        <w:t>奖各奖级单注奖金进行等比例调整。</w:t>
      </w:r>
    </w:p>
    <w:p w:rsidR="00AD32F3" w:rsidRDefault="001706CE">
      <w:pPr>
        <w:widowControl w:val="0"/>
        <w:shd w:val="clear" w:color="auto" w:fill="FFFFFF"/>
        <w:adjustRightInd w:val="0"/>
        <w:snapToGrid w:val="0"/>
        <w:spacing w:line="324" w:lineRule="auto"/>
        <w:ind w:firstLine="630"/>
        <w:rPr>
          <w:rFonts w:hAnsi="仿宋" w:cs="Calibri"/>
          <w:w w:val="99"/>
          <w:kern w:val="0"/>
          <w:sz w:val="32"/>
          <w:szCs w:val="32"/>
        </w:rPr>
      </w:pPr>
      <w:proofErr w:type="gramStart"/>
      <w:r>
        <w:rPr>
          <w:rFonts w:hAnsi="仿宋" w:cs="Calibri" w:hint="eastAsia"/>
          <w:w w:val="99"/>
          <w:kern w:val="0"/>
          <w:sz w:val="32"/>
          <w:szCs w:val="32"/>
        </w:rPr>
        <w:t>固定奖调整</w:t>
      </w:r>
      <w:proofErr w:type="gramEnd"/>
      <w:r>
        <w:rPr>
          <w:rFonts w:hAnsi="仿宋" w:cs="Calibri" w:hint="eastAsia"/>
          <w:w w:val="99"/>
          <w:kern w:val="0"/>
          <w:sz w:val="32"/>
          <w:szCs w:val="32"/>
        </w:rPr>
        <w:t>后的</w:t>
      </w:r>
      <w:r>
        <w:rPr>
          <w:rFonts w:hAnsi="仿宋" w:cs="Calibri"/>
          <w:w w:val="99"/>
          <w:kern w:val="0"/>
          <w:sz w:val="32"/>
          <w:szCs w:val="32"/>
        </w:rPr>
        <w:t>单注奖金按</w:t>
      </w:r>
      <w:r>
        <w:rPr>
          <w:rFonts w:hAnsi="仿宋" w:cs="Calibri" w:hint="eastAsia"/>
          <w:w w:val="99"/>
          <w:kern w:val="0"/>
          <w:sz w:val="32"/>
          <w:szCs w:val="32"/>
        </w:rPr>
        <w:t>分向</w:t>
      </w:r>
      <w:r>
        <w:rPr>
          <w:rFonts w:hAnsi="仿宋" w:cs="Calibri"/>
          <w:w w:val="99"/>
          <w:kern w:val="0"/>
          <w:sz w:val="32"/>
          <w:szCs w:val="32"/>
        </w:rPr>
        <w:t>下取整，</w:t>
      </w:r>
      <w:r>
        <w:rPr>
          <w:rFonts w:hAnsi="仿宋" w:cs="宋体" w:hint="eastAsia"/>
          <w:w w:val="99"/>
          <w:kern w:val="0"/>
          <w:sz w:val="32"/>
          <w:szCs w:val="32"/>
        </w:rPr>
        <w:t>取整后的余额</w:t>
      </w:r>
      <w:r>
        <w:rPr>
          <w:rFonts w:hAnsi="仿宋" w:cs="Calibri"/>
          <w:w w:val="99"/>
          <w:kern w:val="0"/>
          <w:sz w:val="32"/>
          <w:szCs w:val="32"/>
        </w:rPr>
        <w:t>计入调节基金。</w:t>
      </w:r>
      <w:r>
        <w:rPr>
          <w:rFonts w:hAnsi="仿宋" w:cs="Calibri" w:hint="eastAsia"/>
          <w:w w:val="99"/>
          <w:kern w:val="0"/>
          <w:sz w:val="32"/>
          <w:szCs w:val="32"/>
        </w:rPr>
        <w:t>当</w:t>
      </w:r>
      <w:proofErr w:type="gramStart"/>
      <w:r>
        <w:rPr>
          <w:rFonts w:hAnsi="仿宋" w:cs="Calibri" w:hint="eastAsia"/>
          <w:w w:val="99"/>
          <w:kern w:val="0"/>
          <w:sz w:val="32"/>
          <w:szCs w:val="32"/>
        </w:rPr>
        <w:t>固定奖</w:t>
      </w:r>
      <w:proofErr w:type="gramEnd"/>
      <w:r>
        <w:rPr>
          <w:rFonts w:hAnsi="仿宋" w:cs="Calibri" w:hint="eastAsia"/>
          <w:w w:val="99"/>
          <w:kern w:val="0"/>
          <w:sz w:val="32"/>
          <w:szCs w:val="32"/>
        </w:rPr>
        <w:t>单注奖金不足1分时补足至1分，</w:t>
      </w:r>
      <w:r>
        <w:rPr>
          <w:rFonts w:hAnsi="仿宋" w:cs="宋体"/>
          <w:kern w:val="0"/>
        </w:rPr>
        <w:t>不足部分从调节基金中支付</w:t>
      </w:r>
      <w:r>
        <w:rPr>
          <w:rFonts w:hAnsi="仿宋" w:cs="宋体" w:hint="eastAsia"/>
          <w:kern w:val="0"/>
        </w:rPr>
        <w:t>，</w:t>
      </w:r>
      <w:r>
        <w:rPr>
          <w:rFonts w:hAnsi="仿宋" w:cs="宋体"/>
          <w:kern w:val="0"/>
        </w:rPr>
        <w:t>调节基金不足时用彩票兑奖周转金垫支。</w:t>
      </w:r>
    </w:p>
    <w:p w:rsidR="00AD32F3" w:rsidRDefault="001706CE">
      <w:pPr>
        <w:widowControl w:val="0"/>
        <w:shd w:val="clear" w:color="auto" w:fill="FFFFFF"/>
        <w:adjustRightInd w:val="0"/>
        <w:snapToGrid w:val="0"/>
        <w:spacing w:line="324" w:lineRule="auto"/>
        <w:ind w:firstLine="630"/>
        <w:rPr>
          <w:rFonts w:ascii="Calibri" w:eastAsia="黑体" w:hAnsi="Calibri" w:cs="Calibri"/>
          <w:w w:val="99"/>
          <w:kern w:val="0"/>
          <w:sz w:val="32"/>
          <w:szCs w:val="32"/>
        </w:rPr>
      </w:pPr>
      <w:r>
        <w:rPr>
          <w:rFonts w:ascii="Calibri" w:eastAsia="黑体" w:hAnsi="Calibri" w:cs="Calibri" w:hint="eastAsia"/>
          <w:w w:val="99"/>
          <w:kern w:val="0"/>
          <w:sz w:val="32"/>
          <w:szCs w:val="32"/>
        </w:rPr>
        <w:t>三、浮动奖奖金</w:t>
      </w:r>
    </w:p>
    <w:p w:rsidR="00AD32F3" w:rsidRDefault="001706CE">
      <w:pPr>
        <w:widowControl w:val="0"/>
        <w:shd w:val="clear" w:color="auto" w:fill="FFFFFF"/>
        <w:adjustRightInd w:val="0"/>
        <w:snapToGrid w:val="0"/>
        <w:spacing w:line="324" w:lineRule="auto"/>
        <w:ind w:firstLine="630"/>
        <w:rPr>
          <w:rFonts w:hAnsi="仿宋" w:cs="宋体"/>
          <w:w w:val="99"/>
          <w:kern w:val="0"/>
          <w:sz w:val="32"/>
          <w:szCs w:val="32"/>
        </w:rPr>
      </w:pPr>
      <w:r>
        <w:rPr>
          <w:rFonts w:hAnsi="仿宋" w:cs="宋体"/>
          <w:w w:val="99"/>
          <w:kern w:val="0"/>
          <w:sz w:val="32"/>
          <w:szCs w:val="32"/>
        </w:rPr>
        <w:t>彩票兑奖周转金用于支付</w:t>
      </w:r>
      <w:r>
        <w:rPr>
          <w:rFonts w:hAnsi="仿宋" w:cs="宋体" w:hint="eastAsia"/>
          <w:w w:val="99"/>
          <w:kern w:val="0"/>
          <w:sz w:val="32"/>
          <w:szCs w:val="32"/>
        </w:rPr>
        <w:t>浮动奖</w:t>
      </w:r>
      <w:r>
        <w:rPr>
          <w:rFonts w:hAnsi="仿宋" w:cs="宋体"/>
          <w:w w:val="99"/>
          <w:kern w:val="0"/>
          <w:sz w:val="32"/>
          <w:szCs w:val="32"/>
        </w:rPr>
        <w:t>奖金的单</w:t>
      </w:r>
      <w:proofErr w:type="gramStart"/>
      <w:r>
        <w:rPr>
          <w:rFonts w:hAnsi="仿宋" w:cs="宋体"/>
          <w:w w:val="99"/>
          <w:kern w:val="0"/>
          <w:sz w:val="32"/>
          <w:szCs w:val="32"/>
        </w:rPr>
        <w:t>期最大</w:t>
      </w:r>
      <w:proofErr w:type="gramEnd"/>
      <w:r>
        <w:rPr>
          <w:rFonts w:hAnsi="仿宋" w:cs="宋体"/>
          <w:w w:val="99"/>
          <w:kern w:val="0"/>
          <w:sz w:val="32"/>
          <w:szCs w:val="32"/>
        </w:rPr>
        <w:t>垫支金额为当期</w:t>
      </w:r>
      <w:r>
        <w:rPr>
          <w:rFonts w:hAnsi="仿宋" w:cs="宋体" w:hint="eastAsia"/>
          <w:w w:val="99"/>
          <w:kern w:val="0"/>
          <w:sz w:val="32"/>
          <w:szCs w:val="32"/>
        </w:rPr>
        <w:t>销售额</w:t>
      </w:r>
      <w:r>
        <w:rPr>
          <w:rFonts w:hAnsi="仿宋" w:cs="宋体"/>
          <w:w w:val="99"/>
          <w:kern w:val="0"/>
          <w:sz w:val="32"/>
          <w:szCs w:val="32"/>
        </w:rPr>
        <w:t>的100%</w:t>
      </w:r>
      <w:r>
        <w:rPr>
          <w:rFonts w:hAnsi="仿宋" w:cs="宋体" w:hint="eastAsia"/>
          <w:w w:val="99"/>
          <w:kern w:val="0"/>
          <w:sz w:val="32"/>
          <w:szCs w:val="32"/>
        </w:rPr>
        <w:t>。其中，用于支付一等奖奖金的单</w:t>
      </w:r>
      <w:proofErr w:type="gramStart"/>
      <w:r>
        <w:rPr>
          <w:rFonts w:hAnsi="仿宋" w:cs="宋体" w:hint="eastAsia"/>
          <w:w w:val="99"/>
          <w:kern w:val="0"/>
          <w:sz w:val="32"/>
          <w:szCs w:val="32"/>
        </w:rPr>
        <w:t>期最大</w:t>
      </w:r>
      <w:proofErr w:type="gramEnd"/>
      <w:r>
        <w:rPr>
          <w:rFonts w:hAnsi="仿宋" w:cs="宋体" w:hint="eastAsia"/>
          <w:w w:val="99"/>
          <w:kern w:val="0"/>
          <w:sz w:val="32"/>
          <w:szCs w:val="32"/>
        </w:rPr>
        <w:t>垫支金额为当期销售额的</w:t>
      </w:r>
      <w:r>
        <w:rPr>
          <w:rFonts w:hAnsi="仿宋" w:cs="宋体"/>
          <w:w w:val="99"/>
          <w:kern w:val="0"/>
          <w:sz w:val="32"/>
          <w:szCs w:val="32"/>
        </w:rPr>
        <w:t>78%，用于支付二等奖奖金的单</w:t>
      </w:r>
      <w:proofErr w:type="gramStart"/>
      <w:r>
        <w:rPr>
          <w:rFonts w:hAnsi="仿宋" w:cs="宋体"/>
          <w:w w:val="99"/>
          <w:kern w:val="0"/>
          <w:sz w:val="32"/>
          <w:szCs w:val="32"/>
        </w:rPr>
        <w:t>期最</w:t>
      </w:r>
      <w:proofErr w:type="gramEnd"/>
      <w:r>
        <w:rPr>
          <w:rFonts w:hAnsi="仿宋" w:cs="宋体"/>
          <w:w w:val="99"/>
          <w:kern w:val="0"/>
          <w:sz w:val="32"/>
          <w:szCs w:val="32"/>
        </w:rPr>
        <w:t>大垫支金额为当期</w:t>
      </w:r>
      <w:r>
        <w:rPr>
          <w:rFonts w:hAnsi="仿宋" w:cs="宋体" w:hint="eastAsia"/>
          <w:w w:val="99"/>
          <w:kern w:val="0"/>
          <w:sz w:val="32"/>
          <w:szCs w:val="32"/>
        </w:rPr>
        <w:t>销售额</w:t>
      </w:r>
      <w:r>
        <w:rPr>
          <w:rFonts w:hAnsi="仿宋" w:cs="宋体"/>
          <w:w w:val="99"/>
          <w:kern w:val="0"/>
          <w:sz w:val="32"/>
          <w:szCs w:val="32"/>
        </w:rPr>
        <w:t>的22%。</w:t>
      </w:r>
    </w:p>
    <w:p w:rsidR="00AD32F3" w:rsidRDefault="001706CE">
      <w:pPr>
        <w:widowControl w:val="0"/>
        <w:shd w:val="clear" w:color="auto" w:fill="FFFFFF"/>
        <w:adjustRightInd w:val="0"/>
        <w:snapToGrid w:val="0"/>
        <w:spacing w:line="324" w:lineRule="auto"/>
        <w:ind w:firstLine="630"/>
        <w:rPr>
          <w:rFonts w:ascii="楷体" w:eastAsia="楷体" w:hAnsi="楷体" w:cs="Arial"/>
          <w:w w:val="99"/>
          <w:sz w:val="32"/>
          <w:szCs w:val="32"/>
        </w:rPr>
      </w:pPr>
      <w:r>
        <w:rPr>
          <w:rStyle w:val="aa"/>
          <w:rFonts w:ascii="楷体" w:eastAsia="楷体" w:hAnsi="楷体" w:cs="Arial"/>
          <w:b w:val="0"/>
          <w:bCs w:val="0"/>
          <w:w w:val="99"/>
          <w:sz w:val="32"/>
          <w:szCs w:val="32"/>
        </w:rPr>
        <w:t>（一）</w:t>
      </w:r>
      <w:bookmarkStart w:id="0" w:name="_Hlk211865311"/>
      <w:r>
        <w:rPr>
          <w:rStyle w:val="aa"/>
          <w:rFonts w:ascii="楷体" w:eastAsia="楷体" w:hAnsi="楷体" w:cs="Arial" w:hint="eastAsia"/>
          <w:b w:val="0"/>
          <w:bCs w:val="0"/>
          <w:w w:val="99"/>
          <w:sz w:val="32"/>
          <w:szCs w:val="32"/>
        </w:rPr>
        <w:t>二等奖奖金计算</w:t>
      </w:r>
      <w:bookmarkEnd w:id="0"/>
    </w:p>
    <w:p w:rsidR="00AD32F3" w:rsidRDefault="001706CE">
      <w:pPr>
        <w:widowControl w:val="0"/>
        <w:shd w:val="clear" w:color="auto" w:fill="FFFFFF"/>
        <w:adjustRightInd w:val="0"/>
        <w:snapToGrid w:val="0"/>
        <w:spacing w:line="324" w:lineRule="auto"/>
        <w:ind w:firstLine="630"/>
        <w:rPr>
          <w:rFonts w:hAnsi="仿宋" w:cs="Calibri"/>
          <w:w w:val="99"/>
          <w:kern w:val="0"/>
          <w:sz w:val="32"/>
          <w:szCs w:val="32"/>
        </w:rPr>
      </w:pPr>
      <w:bookmarkStart w:id="1" w:name="_Hlk211865319"/>
      <w:r>
        <w:rPr>
          <w:rFonts w:hAnsi="仿宋" w:cs="宋体" w:hint="eastAsia"/>
          <w:w w:val="99"/>
          <w:kern w:val="0"/>
          <w:sz w:val="32"/>
          <w:szCs w:val="32"/>
        </w:rPr>
        <w:lastRenderedPageBreak/>
        <w:t>当期二等奖最大返奖总额＝当期奖金额中二等奖分配部分＋上期开奖后调节基金余额＋当期调节基金计提金额</w:t>
      </w:r>
      <w:r>
        <w:rPr>
          <w:rFonts w:hAnsi="仿宋" w:cs="Calibri" w:hint="eastAsia"/>
          <w:w w:val="99"/>
          <w:kern w:val="0"/>
          <w:sz w:val="32"/>
          <w:szCs w:val="32"/>
        </w:rPr>
        <w:t>（若需偿还彩票兑奖周转金，则为偿还后的余额）</w:t>
      </w:r>
      <w:r>
        <w:rPr>
          <w:rFonts w:hAnsi="仿宋" w:cs="宋体" w:hint="eastAsia"/>
          <w:w w:val="99"/>
          <w:kern w:val="0"/>
          <w:sz w:val="32"/>
          <w:szCs w:val="32"/>
        </w:rPr>
        <w:t>－当期</w:t>
      </w:r>
      <w:proofErr w:type="gramStart"/>
      <w:r>
        <w:rPr>
          <w:rFonts w:hAnsi="仿宋" w:cs="宋体" w:hint="eastAsia"/>
          <w:w w:val="99"/>
          <w:kern w:val="0"/>
          <w:sz w:val="32"/>
          <w:szCs w:val="32"/>
        </w:rPr>
        <w:t>固定奖分配</w:t>
      </w:r>
      <w:proofErr w:type="gramEnd"/>
      <w:r>
        <w:rPr>
          <w:rFonts w:hAnsi="仿宋" w:cs="宋体" w:hint="eastAsia"/>
          <w:w w:val="99"/>
          <w:kern w:val="0"/>
          <w:sz w:val="32"/>
          <w:szCs w:val="32"/>
        </w:rPr>
        <w:t>时使用的调节基金金额＋彩票兑奖周转金垫支金额</w:t>
      </w:r>
      <w:r>
        <w:rPr>
          <w:rFonts w:hAnsi="仿宋" w:cs="Calibri"/>
          <w:w w:val="99"/>
          <w:kern w:val="0"/>
          <w:sz w:val="32"/>
          <w:szCs w:val="32"/>
        </w:rPr>
        <w:t>（</w:t>
      </w:r>
      <w:r>
        <w:rPr>
          <w:rFonts w:hAnsi="仿宋" w:cs="Calibri" w:hint="eastAsia"/>
          <w:w w:val="99"/>
          <w:kern w:val="0"/>
          <w:sz w:val="32"/>
          <w:szCs w:val="32"/>
        </w:rPr>
        <w:t>即</w:t>
      </w:r>
      <w:r>
        <w:rPr>
          <w:rFonts w:hAnsi="仿宋" w:cs="Calibri"/>
          <w:w w:val="99"/>
          <w:kern w:val="0"/>
          <w:sz w:val="32"/>
          <w:szCs w:val="32"/>
        </w:rPr>
        <w:t>当期</w:t>
      </w:r>
      <w:r>
        <w:rPr>
          <w:rFonts w:hAnsi="仿宋" w:cs="宋体" w:hint="eastAsia"/>
          <w:w w:val="99"/>
          <w:kern w:val="0"/>
          <w:sz w:val="32"/>
          <w:szCs w:val="32"/>
        </w:rPr>
        <w:t>销售额</w:t>
      </w:r>
      <w:r>
        <w:rPr>
          <w:rFonts w:hAnsi="仿宋" w:cs="Calibri"/>
          <w:w w:val="99"/>
          <w:kern w:val="0"/>
          <w:sz w:val="32"/>
          <w:szCs w:val="32"/>
        </w:rPr>
        <w:t>的</w:t>
      </w:r>
      <w:r>
        <w:rPr>
          <w:rFonts w:hAnsi="仿宋" w:cs="Calibri" w:hint="eastAsia"/>
          <w:w w:val="99"/>
          <w:kern w:val="0"/>
          <w:sz w:val="32"/>
          <w:szCs w:val="32"/>
        </w:rPr>
        <w:t>22</w:t>
      </w:r>
      <w:r>
        <w:rPr>
          <w:rFonts w:hAnsi="仿宋" w:cs="Calibri"/>
          <w:w w:val="99"/>
          <w:kern w:val="0"/>
          <w:sz w:val="32"/>
          <w:szCs w:val="32"/>
        </w:rPr>
        <w:t>%）</w:t>
      </w:r>
    </w:p>
    <w:p w:rsidR="00AD32F3" w:rsidRDefault="001706CE">
      <w:pPr>
        <w:widowControl w:val="0"/>
        <w:shd w:val="clear" w:color="auto" w:fill="FFFFFF"/>
        <w:adjustRightInd w:val="0"/>
        <w:snapToGrid w:val="0"/>
        <w:spacing w:line="324" w:lineRule="auto"/>
        <w:ind w:firstLine="630"/>
        <w:rPr>
          <w:rFonts w:hAnsi="仿宋" w:cs="宋体"/>
          <w:w w:val="99"/>
          <w:kern w:val="0"/>
          <w:sz w:val="32"/>
          <w:szCs w:val="32"/>
        </w:rPr>
      </w:pPr>
      <w:r>
        <w:rPr>
          <w:rFonts w:hAnsi="仿宋" w:cs="宋体"/>
          <w:w w:val="99"/>
          <w:kern w:val="0"/>
          <w:sz w:val="32"/>
          <w:szCs w:val="32"/>
        </w:rPr>
        <w:t>若当期</w:t>
      </w:r>
      <w:r>
        <w:rPr>
          <w:rFonts w:hAnsi="仿宋" w:cs="宋体" w:hint="eastAsia"/>
          <w:w w:val="99"/>
          <w:kern w:val="0"/>
          <w:sz w:val="32"/>
          <w:szCs w:val="32"/>
        </w:rPr>
        <w:t>二等奖</w:t>
      </w:r>
      <w:r>
        <w:rPr>
          <w:rFonts w:hAnsi="仿宋" w:cs="宋体"/>
          <w:w w:val="99"/>
          <w:kern w:val="0"/>
          <w:sz w:val="32"/>
          <w:szCs w:val="32"/>
        </w:rPr>
        <w:t>最大返奖总额不足以支付</w:t>
      </w:r>
      <w:r>
        <w:rPr>
          <w:rFonts w:hAnsi="仿宋" w:cs="宋体" w:hint="eastAsia"/>
          <w:w w:val="99"/>
          <w:kern w:val="0"/>
          <w:sz w:val="32"/>
          <w:szCs w:val="32"/>
        </w:rPr>
        <w:t>二等</w:t>
      </w:r>
      <w:r>
        <w:rPr>
          <w:rFonts w:hAnsi="仿宋" w:cs="宋体"/>
          <w:w w:val="99"/>
          <w:kern w:val="0"/>
          <w:sz w:val="32"/>
          <w:szCs w:val="32"/>
        </w:rPr>
        <w:t>奖奖金，</w:t>
      </w:r>
      <w:r>
        <w:rPr>
          <w:rFonts w:hAnsi="仿宋" w:cs="宋体" w:hint="eastAsia"/>
          <w:w w:val="99"/>
          <w:kern w:val="0"/>
          <w:sz w:val="32"/>
          <w:szCs w:val="32"/>
        </w:rPr>
        <w:t>则当期</w:t>
      </w:r>
      <w:proofErr w:type="gramStart"/>
      <w:r>
        <w:rPr>
          <w:rFonts w:hAnsi="仿宋" w:cs="宋体" w:hint="eastAsia"/>
          <w:w w:val="99"/>
          <w:kern w:val="0"/>
          <w:sz w:val="32"/>
          <w:szCs w:val="32"/>
        </w:rPr>
        <w:t>二等奖按注均分</w:t>
      </w:r>
      <w:proofErr w:type="gramEnd"/>
      <w:r>
        <w:rPr>
          <w:rFonts w:hAnsi="仿宋" w:cs="宋体" w:hint="eastAsia"/>
          <w:w w:val="99"/>
          <w:kern w:val="0"/>
          <w:sz w:val="32"/>
          <w:szCs w:val="32"/>
        </w:rPr>
        <w:t>二等奖最大返奖总额，追加投注单注奖金为基本投注单注奖金的</w:t>
      </w:r>
      <w:r>
        <w:rPr>
          <w:rFonts w:hAnsi="仿宋" w:cs="宋体"/>
          <w:w w:val="99"/>
          <w:kern w:val="0"/>
          <w:sz w:val="32"/>
          <w:szCs w:val="32"/>
        </w:rPr>
        <w:t>80%。</w:t>
      </w:r>
      <w:bookmarkEnd w:id="1"/>
    </w:p>
    <w:p w:rsidR="00AD32F3" w:rsidRDefault="001706CE">
      <w:pPr>
        <w:widowControl w:val="0"/>
        <w:shd w:val="clear" w:color="auto" w:fill="FFFFFF"/>
        <w:adjustRightInd w:val="0"/>
        <w:snapToGrid w:val="0"/>
        <w:spacing w:line="324" w:lineRule="auto"/>
        <w:ind w:firstLine="630"/>
        <w:rPr>
          <w:rFonts w:hAnsi="仿宋" w:cs="Calibri"/>
          <w:w w:val="99"/>
          <w:kern w:val="0"/>
          <w:sz w:val="32"/>
          <w:szCs w:val="32"/>
        </w:rPr>
      </w:pPr>
      <w:r>
        <w:rPr>
          <w:rFonts w:hAnsi="仿宋" w:cs="Calibri" w:hint="eastAsia"/>
          <w:w w:val="99"/>
          <w:kern w:val="0"/>
          <w:sz w:val="32"/>
          <w:szCs w:val="32"/>
        </w:rPr>
        <w:t>二等奖</w:t>
      </w:r>
      <w:r>
        <w:rPr>
          <w:rFonts w:hAnsi="仿宋" w:cs="Calibri"/>
          <w:w w:val="99"/>
          <w:kern w:val="0"/>
          <w:sz w:val="32"/>
          <w:szCs w:val="32"/>
        </w:rPr>
        <w:t>单注奖金</w:t>
      </w:r>
      <w:proofErr w:type="gramStart"/>
      <w:r>
        <w:rPr>
          <w:rFonts w:hAnsi="仿宋" w:cs="Calibri"/>
          <w:w w:val="99"/>
          <w:kern w:val="0"/>
          <w:sz w:val="32"/>
          <w:szCs w:val="32"/>
        </w:rPr>
        <w:t>按</w:t>
      </w:r>
      <w:r>
        <w:rPr>
          <w:rFonts w:hAnsi="仿宋" w:cs="Calibri" w:hint="eastAsia"/>
          <w:w w:val="99"/>
          <w:kern w:val="0"/>
          <w:sz w:val="32"/>
          <w:szCs w:val="32"/>
        </w:rPr>
        <w:t>元向</w:t>
      </w:r>
      <w:r>
        <w:rPr>
          <w:rFonts w:hAnsi="仿宋" w:cs="Calibri"/>
          <w:w w:val="99"/>
          <w:kern w:val="0"/>
          <w:sz w:val="32"/>
          <w:szCs w:val="32"/>
        </w:rPr>
        <w:t>下</w:t>
      </w:r>
      <w:proofErr w:type="gramEnd"/>
      <w:r>
        <w:rPr>
          <w:rFonts w:hAnsi="仿宋" w:cs="Calibri"/>
          <w:w w:val="99"/>
          <w:kern w:val="0"/>
          <w:sz w:val="32"/>
          <w:szCs w:val="32"/>
        </w:rPr>
        <w:t>取整，</w:t>
      </w:r>
      <w:r>
        <w:rPr>
          <w:rFonts w:hAnsi="仿宋" w:cs="宋体" w:hint="eastAsia"/>
          <w:w w:val="99"/>
          <w:kern w:val="0"/>
          <w:sz w:val="32"/>
          <w:szCs w:val="32"/>
        </w:rPr>
        <w:t>取整后的余额</w:t>
      </w:r>
      <w:r>
        <w:rPr>
          <w:rFonts w:hAnsi="仿宋" w:cs="Calibri"/>
          <w:w w:val="99"/>
          <w:kern w:val="0"/>
          <w:sz w:val="32"/>
          <w:szCs w:val="32"/>
        </w:rPr>
        <w:t>计入调节基金。</w:t>
      </w:r>
      <w:r>
        <w:rPr>
          <w:rFonts w:hAnsi="仿宋" w:cs="Calibri" w:hint="eastAsia"/>
          <w:w w:val="99"/>
          <w:kern w:val="0"/>
          <w:sz w:val="32"/>
          <w:szCs w:val="32"/>
        </w:rPr>
        <w:t>当二等奖单注奖金不足1元时补足至1元，</w:t>
      </w:r>
      <w:r>
        <w:rPr>
          <w:rFonts w:hAnsi="仿宋" w:cs="宋体"/>
          <w:kern w:val="0"/>
        </w:rPr>
        <w:t>不足部分从调节基金中支付</w:t>
      </w:r>
      <w:r>
        <w:rPr>
          <w:rFonts w:hAnsi="仿宋" w:cs="宋体" w:hint="eastAsia"/>
          <w:kern w:val="0"/>
        </w:rPr>
        <w:t>，</w:t>
      </w:r>
      <w:r>
        <w:rPr>
          <w:rFonts w:hAnsi="仿宋" w:cs="宋体"/>
          <w:kern w:val="0"/>
        </w:rPr>
        <w:t>调节基金不足时用彩票兑奖周转金垫支。</w:t>
      </w:r>
    </w:p>
    <w:p w:rsidR="00AD32F3" w:rsidRDefault="001706CE">
      <w:pPr>
        <w:widowControl w:val="0"/>
        <w:shd w:val="clear" w:color="auto" w:fill="FFFFFF"/>
        <w:adjustRightInd w:val="0"/>
        <w:snapToGrid w:val="0"/>
        <w:spacing w:line="324" w:lineRule="auto"/>
        <w:ind w:firstLine="630"/>
        <w:rPr>
          <w:rStyle w:val="aa"/>
          <w:rFonts w:ascii="楷体" w:eastAsia="楷体" w:hAnsi="楷体"/>
          <w:b w:val="0"/>
          <w:bCs w:val="0"/>
          <w:w w:val="99"/>
          <w:sz w:val="32"/>
          <w:szCs w:val="32"/>
        </w:rPr>
      </w:pPr>
      <w:r>
        <w:rPr>
          <w:rStyle w:val="aa"/>
          <w:rFonts w:ascii="楷体" w:eastAsia="楷体" w:hAnsi="楷体" w:cs="Arial"/>
          <w:b w:val="0"/>
          <w:bCs w:val="0"/>
          <w:w w:val="99"/>
          <w:sz w:val="32"/>
          <w:szCs w:val="32"/>
        </w:rPr>
        <w:t>（二）</w:t>
      </w:r>
      <w:r>
        <w:rPr>
          <w:rStyle w:val="aa"/>
          <w:rFonts w:ascii="楷体" w:eastAsia="楷体" w:hAnsi="楷体" w:cs="Arial" w:hint="eastAsia"/>
          <w:b w:val="0"/>
          <w:bCs w:val="0"/>
          <w:w w:val="99"/>
          <w:sz w:val="32"/>
          <w:szCs w:val="32"/>
        </w:rPr>
        <w:t>一等奖奖金计算</w:t>
      </w:r>
    </w:p>
    <w:p w:rsidR="00AD32F3" w:rsidRDefault="001706CE">
      <w:pPr>
        <w:widowControl w:val="0"/>
        <w:shd w:val="clear" w:color="auto" w:fill="FFFFFF"/>
        <w:adjustRightInd w:val="0"/>
        <w:snapToGrid w:val="0"/>
        <w:spacing w:line="324" w:lineRule="auto"/>
        <w:ind w:firstLine="630"/>
        <w:rPr>
          <w:rFonts w:hAnsi="仿宋" w:cs="宋体"/>
          <w:w w:val="99"/>
          <w:kern w:val="0"/>
          <w:sz w:val="32"/>
          <w:szCs w:val="32"/>
        </w:rPr>
      </w:pPr>
      <w:bookmarkStart w:id="2" w:name="_Hlk211865346"/>
      <w:r>
        <w:rPr>
          <w:rFonts w:hAnsi="仿宋" w:cs="宋体" w:hint="eastAsia"/>
          <w:w w:val="99"/>
          <w:kern w:val="0"/>
          <w:sz w:val="32"/>
          <w:szCs w:val="32"/>
        </w:rPr>
        <w:t>当期一等奖最大返奖总额＝当期奖金额中一等奖分配部分＋</w:t>
      </w:r>
      <w:proofErr w:type="gramStart"/>
      <w:r>
        <w:rPr>
          <w:rFonts w:hAnsi="仿宋" w:cs="宋体" w:hint="eastAsia"/>
          <w:w w:val="99"/>
          <w:kern w:val="0"/>
          <w:sz w:val="32"/>
          <w:szCs w:val="32"/>
        </w:rPr>
        <w:t>奖池资金</w:t>
      </w:r>
      <w:proofErr w:type="gramEnd"/>
      <w:r>
        <w:rPr>
          <w:rFonts w:hAnsi="仿宋" w:cs="宋体" w:hint="eastAsia"/>
          <w:w w:val="99"/>
          <w:kern w:val="0"/>
          <w:sz w:val="32"/>
          <w:szCs w:val="32"/>
        </w:rPr>
        <w:t>余额＋上期开奖后调节基金余额＋当期调节基金计提金额</w:t>
      </w:r>
      <w:r>
        <w:rPr>
          <w:rFonts w:hAnsi="仿宋" w:cs="Calibri" w:hint="eastAsia"/>
          <w:w w:val="99"/>
          <w:kern w:val="0"/>
          <w:sz w:val="32"/>
          <w:szCs w:val="32"/>
        </w:rPr>
        <w:t>（若需偿还彩票兑奖周转金，则为偿还后的余额）</w:t>
      </w:r>
      <w:r>
        <w:rPr>
          <w:rFonts w:hAnsi="仿宋" w:cs="宋体" w:hint="eastAsia"/>
          <w:w w:val="99"/>
          <w:kern w:val="0"/>
          <w:sz w:val="32"/>
          <w:szCs w:val="32"/>
        </w:rPr>
        <w:t>－当期</w:t>
      </w:r>
      <w:proofErr w:type="gramStart"/>
      <w:r>
        <w:rPr>
          <w:rFonts w:hAnsi="仿宋" w:cs="宋体" w:hint="eastAsia"/>
          <w:w w:val="99"/>
          <w:kern w:val="0"/>
          <w:sz w:val="32"/>
          <w:szCs w:val="32"/>
        </w:rPr>
        <w:t>固定</w:t>
      </w:r>
      <w:proofErr w:type="gramEnd"/>
      <w:r>
        <w:rPr>
          <w:rFonts w:hAnsi="仿宋" w:cs="宋体" w:hint="eastAsia"/>
          <w:w w:val="99"/>
          <w:kern w:val="0"/>
          <w:sz w:val="32"/>
          <w:szCs w:val="32"/>
        </w:rPr>
        <w:t>奖和二等奖分配时使用的调节基金金额＋彩票兑奖周转金垫支金额</w:t>
      </w:r>
      <w:r>
        <w:rPr>
          <w:rFonts w:hAnsi="仿宋" w:cs="Calibri"/>
          <w:w w:val="99"/>
          <w:kern w:val="0"/>
          <w:sz w:val="32"/>
          <w:szCs w:val="32"/>
        </w:rPr>
        <w:t>（</w:t>
      </w:r>
      <w:r>
        <w:rPr>
          <w:rFonts w:hAnsi="仿宋" w:cs="Calibri" w:hint="eastAsia"/>
          <w:w w:val="99"/>
          <w:kern w:val="0"/>
          <w:sz w:val="32"/>
          <w:szCs w:val="32"/>
        </w:rPr>
        <w:t>即</w:t>
      </w:r>
      <w:r>
        <w:rPr>
          <w:rFonts w:hAnsi="仿宋" w:cs="Calibri"/>
          <w:w w:val="99"/>
          <w:kern w:val="0"/>
          <w:sz w:val="32"/>
          <w:szCs w:val="32"/>
        </w:rPr>
        <w:t>当期</w:t>
      </w:r>
      <w:r>
        <w:rPr>
          <w:rFonts w:hAnsi="仿宋" w:cs="宋体" w:hint="eastAsia"/>
          <w:w w:val="99"/>
          <w:kern w:val="0"/>
          <w:sz w:val="32"/>
          <w:szCs w:val="32"/>
        </w:rPr>
        <w:t>销售额</w:t>
      </w:r>
      <w:r>
        <w:rPr>
          <w:rFonts w:hAnsi="仿宋" w:cs="Calibri"/>
          <w:w w:val="99"/>
          <w:kern w:val="0"/>
          <w:sz w:val="32"/>
          <w:szCs w:val="32"/>
        </w:rPr>
        <w:t>的</w:t>
      </w:r>
      <w:r>
        <w:rPr>
          <w:rFonts w:hAnsi="仿宋" w:cs="Calibri" w:hint="eastAsia"/>
          <w:w w:val="99"/>
          <w:kern w:val="0"/>
          <w:sz w:val="32"/>
          <w:szCs w:val="32"/>
        </w:rPr>
        <w:t>78</w:t>
      </w:r>
      <w:r>
        <w:rPr>
          <w:rFonts w:hAnsi="仿宋" w:cs="Calibri"/>
          <w:w w:val="99"/>
          <w:kern w:val="0"/>
          <w:sz w:val="32"/>
          <w:szCs w:val="32"/>
        </w:rPr>
        <w:t>%）</w:t>
      </w:r>
    </w:p>
    <w:p w:rsidR="00AD32F3" w:rsidRDefault="001706CE">
      <w:pPr>
        <w:widowControl w:val="0"/>
        <w:shd w:val="clear" w:color="auto" w:fill="FFFFFF"/>
        <w:adjustRightInd w:val="0"/>
        <w:snapToGrid w:val="0"/>
        <w:spacing w:line="324" w:lineRule="auto"/>
        <w:ind w:firstLine="630"/>
        <w:rPr>
          <w:rFonts w:hAnsi="仿宋" w:cs="宋体"/>
          <w:w w:val="99"/>
          <w:kern w:val="0"/>
          <w:sz w:val="32"/>
          <w:szCs w:val="32"/>
        </w:rPr>
      </w:pPr>
      <w:r>
        <w:rPr>
          <w:rFonts w:hAnsi="仿宋" w:cs="宋体"/>
          <w:w w:val="99"/>
          <w:kern w:val="0"/>
          <w:sz w:val="32"/>
          <w:szCs w:val="32"/>
        </w:rPr>
        <w:t>若当期</w:t>
      </w:r>
      <w:r>
        <w:rPr>
          <w:rFonts w:hAnsi="仿宋" w:cs="宋体" w:hint="eastAsia"/>
          <w:w w:val="99"/>
          <w:kern w:val="0"/>
          <w:sz w:val="32"/>
          <w:szCs w:val="32"/>
        </w:rPr>
        <w:t>一等奖</w:t>
      </w:r>
      <w:r>
        <w:rPr>
          <w:rFonts w:hAnsi="仿宋" w:cs="宋体"/>
          <w:w w:val="99"/>
          <w:kern w:val="0"/>
          <w:sz w:val="32"/>
          <w:szCs w:val="32"/>
        </w:rPr>
        <w:t>最大返奖总额不足以支付</w:t>
      </w:r>
      <w:r>
        <w:rPr>
          <w:rFonts w:hAnsi="仿宋" w:cs="宋体" w:hint="eastAsia"/>
          <w:w w:val="99"/>
          <w:kern w:val="0"/>
          <w:sz w:val="32"/>
          <w:szCs w:val="32"/>
        </w:rPr>
        <w:t>一等</w:t>
      </w:r>
      <w:r>
        <w:rPr>
          <w:rFonts w:hAnsi="仿宋" w:cs="宋体"/>
          <w:w w:val="99"/>
          <w:kern w:val="0"/>
          <w:sz w:val="32"/>
          <w:szCs w:val="32"/>
        </w:rPr>
        <w:t>奖奖金，</w:t>
      </w:r>
      <w:r>
        <w:rPr>
          <w:rFonts w:hAnsi="仿宋" w:cs="宋体" w:hint="eastAsia"/>
          <w:w w:val="99"/>
          <w:kern w:val="0"/>
          <w:sz w:val="32"/>
          <w:szCs w:val="32"/>
        </w:rPr>
        <w:t>则当期</w:t>
      </w:r>
      <w:proofErr w:type="gramStart"/>
      <w:r>
        <w:rPr>
          <w:rFonts w:hAnsi="仿宋" w:cs="宋体" w:hint="eastAsia"/>
          <w:w w:val="99"/>
          <w:kern w:val="0"/>
          <w:sz w:val="32"/>
          <w:szCs w:val="32"/>
        </w:rPr>
        <w:t>一等奖按注均分</w:t>
      </w:r>
      <w:proofErr w:type="gramEnd"/>
      <w:r>
        <w:rPr>
          <w:rFonts w:hAnsi="仿宋" w:cs="宋体" w:hint="eastAsia"/>
          <w:w w:val="99"/>
          <w:kern w:val="0"/>
          <w:sz w:val="32"/>
          <w:szCs w:val="32"/>
        </w:rPr>
        <w:t>一等奖最大返奖总额，追加投注单注奖金为基本投注单注奖金的</w:t>
      </w:r>
      <w:r>
        <w:rPr>
          <w:rFonts w:hAnsi="仿宋" w:cs="宋体"/>
          <w:w w:val="99"/>
          <w:kern w:val="0"/>
          <w:sz w:val="32"/>
          <w:szCs w:val="32"/>
        </w:rPr>
        <w:t>80%。</w:t>
      </w:r>
      <w:bookmarkEnd w:id="2"/>
    </w:p>
    <w:p w:rsidR="00AD32F3" w:rsidRDefault="001706CE" w:rsidP="00460266">
      <w:pPr>
        <w:widowControl w:val="0"/>
        <w:shd w:val="clear" w:color="auto" w:fill="FFFFFF"/>
        <w:adjustRightInd w:val="0"/>
        <w:snapToGrid w:val="0"/>
        <w:spacing w:line="324" w:lineRule="auto"/>
        <w:ind w:firstLine="630"/>
      </w:pPr>
      <w:r>
        <w:rPr>
          <w:rFonts w:hAnsi="仿宋" w:cs="Calibri" w:hint="eastAsia"/>
          <w:w w:val="99"/>
          <w:kern w:val="0"/>
          <w:sz w:val="32"/>
          <w:szCs w:val="32"/>
        </w:rPr>
        <w:t>一等奖</w:t>
      </w:r>
      <w:r>
        <w:rPr>
          <w:rFonts w:hAnsi="仿宋" w:cs="Calibri"/>
          <w:w w:val="99"/>
          <w:kern w:val="0"/>
          <w:sz w:val="32"/>
          <w:szCs w:val="32"/>
        </w:rPr>
        <w:t>单注奖金</w:t>
      </w:r>
      <w:proofErr w:type="gramStart"/>
      <w:r>
        <w:rPr>
          <w:rFonts w:hAnsi="仿宋" w:cs="Calibri"/>
          <w:w w:val="99"/>
          <w:kern w:val="0"/>
          <w:sz w:val="32"/>
          <w:szCs w:val="32"/>
        </w:rPr>
        <w:t>按</w:t>
      </w:r>
      <w:r>
        <w:rPr>
          <w:rFonts w:hAnsi="仿宋" w:cs="Calibri" w:hint="eastAsia"/>
          <w:w w:val="99"/>
          <w:kern w:val="0"/>
          <w:sz w:val="32"/>
          <w:szCs w:val="32"/>
        </w:rPr>
        <w:t>元向</w:t>
      </w:r>
      <w:r>
        <w:rPr>
          <w:rFonts w:hAnsi="仿宋" w:cs="Calibri"/>
          <w:w w:val="99"/>
          <w:kern w:val="0"/>
          <w:sz w:val="32"/>
          <w:szCs w:val="32"/>
        </w:rPr>
        <w:t>下</w:t>
      </w:r>
      <w:proofErr w:type="gramEnd"/>
      <w:r>
        <w:rPr>
          <w:rFonts w:hAnsi="仿宋" w:cs="Calibri"/>
          <w:w w:val="99"/>
          <w:kern w:val="0"/>
          <w:sz w:val="32"/>
          <w:szCs w:val="32"/>
        </w:rPr>
        <w:t>取整，</w:t>
      </w:r>
      <w:r>
        <w:rPr>
          <w:rFonts w:hAnsi="仿宋" w:cs="宋体" w:hint="eastAsia"/>
          <w:w w:val="99"/>
          <w:kern w:val="0"/>
          <w:sz w:val="32"/>
          <w:szCs w:val="32"/>
        </w:rPr>
        <w:t>取整后的余额</w:t>
      </w:r>
      <w:r>
        <w:rPr>
          <w:rFonts w:hAnsi="仿宋" w:cs="Calibri"/>
          <w:w w:val="99"/>
          <w:kern w:val="0"/>
          <w:sz w:val="32"/>
          <w:szCs w:val="32"/>
        </w:rPr>
        <w:t>计入调节基金。</w:t>
      </w:r>
      <w:r>
        <w:rPr>
          <w:rFonts w:hAnsi="仿宋" w:cs="Calibri" w:hint="eastAsia"/>
          <w:w w:val="99"/>
          <w:kern w:val="0"/>
          <w:sz w:val="32"/>
          <w:szCs w:val="32"/>
        </w:rPr>
        <w:t>当一等奖</w:t>
      </w:r>
      <w:bookmarkStart w:id="3" w:name="_GoBack"/>
      <w:bookmarkEnd w:id="3"/>
      <w:r>
        <w:rPr>
          <w:rFonts w:hAnsi="仿宋" w:cs="Calibri" w:hint="eastAsia"/>
          <w:w w:val="99"/>
          <w:kern w:val="0"/>
          <w:sz w:val="32"/>
          <w:szCs w:val="32"/>
        </w:rPr>
        <w:t>单注奖金不足1元时补足至1元，</w:t>
      </w:r>
      <w:r>
        <w:rPr>
          <w:rFonts w:hAnsi="仿宋" w:cs="宋体"/>
          <w:kern w:val="0"/>
        </w:rPr>
        <w:t>不足部分从</w:t>
      </w:r>
      <w:r>
        <w:rPr>
          <w:rFonts w:hAnsi="仿宋" w:cs="宋体" w:hint="eastAsia"/>
          <w:kern w:val="0"/>
        </w:rPr>
        <w:t>奖池资金余额支付，奖池资金余额不足时从</w:t>
      </w:r>
      <w:r>
        <w:rPr>
          <w:rFonts w:hAnsi="仿宋" w:cs="宋体"/>
          <w:kern w:val="0"/>
        </w:rPr>
        <w:t>调节基金中支付</w:t>
      </w:r>
      <w:r>
        <w:rPr>
          <w:rFonts w:hAnsi="仿宋" w:cs="宋体" w:hint="eastAsia"/>
          <w:kern w:val="0"/>
        </w:rPr>
        <w:t>，</w:t>
      </w:r>
      <w:r>
        <w:rPr>
          <w:rFonts w:hAnsi="仿宋" w:cs="宋体"/>
          <w:kern w:val="0"/>
        </w:rPr>
        <w:t>调节基金不足时用彩票兑奖周转金垫支。</w:t>
      </w:r>
    </w:p>
    <w:sectPr w:rsidR="00AD32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984" w:left="1531" w:header="851" w:footer="130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373" w:rsidRDefault="00E40373">
      <w:pPr>
        <w:ind w:firstLine="600"/>
      </w:pPr>
      <w:r>
        <w:separator/>
      </w:r>
    </w:p>
  </w:endnote>
  <w:endnote w:type="continuationSeparator" w:id="0">
    <w:p w:rsidR="00E40373" w:rsidRDefault="00E40373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DAF8753-78E1-4AAA-B3CD-30BE05A5B16B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A9CD753-94D9-41D4-9513-3E0A306795C4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6D654DA3-9391-44A0-B9A5-1C639DBF783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82B03BC-E891-4D8B-9FB0-8BC74E1182C7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F3" w:rsidRDefault="00AD32F3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F3" w:rsidRDefault="001706CE">
    <w:pPr>
      <w:pStyle w:val="a4"/>
      <w:ind w:firstLine="560"/>
      <w:rPr>
        <w:rFonts w:ascii="宋体" w:eastAsia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2322195</wp:posOffset>
              </wp:positionH>
              <wp:positionV relativeFrom="paragraph">
                <wp:posOffset>-22860</wp:posOffset>
              </wp:positionV>
              <wp:extent cx="972185" cy="1828800"/>
              <wp:effectExtent l="0" t="0" r="0" b="10795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1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32F3" w:rsidRDefault="001706CE" w:rsidP="00460266">
                          <w:pPr>
                            <w:pStyle w:val="a4"/>
                            <w:ind w:firstLineChars="0" w:firstLine="0"/>
                            <w:jc w:val="center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left:0;text-align:left;margin-left:182.85pt;margin-top:-1.8pt;width:76.55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" filled="f" stroked="f" strokeweight=".5pt">
              <v:textbox style="mso-fit-shape-to-text:t" inset="0,0,0,0">
                <w:txbxContent>
                  <w:p w:rsidR="00AD32F3" w:rsidRDefault="001706CE" w:rsidP="00460266">
                    <w:pPr>
                      <w:pStyle w:val="a4"/>
                      <w:ind w:firstLineChars="0" w:firstLine="0"/>
                      <w:jc w:val="center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F3" w:rsidRDefault="001706CE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32F3" w:rsidRDefault="001706CE">
                          <w:pPr>
                            <w:pStyle w:val="a4"/>
                            <w:ind w:firstLine="360"/>
                          </w:pPr>
                          <w:r>
                            <w:t>—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VzZQIAABMFAAAOAAAAZHJzL2Uyb0RvYy54bWysVM1uEzEQviPxDpbvdNOiVl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l8eTYrDX&#10;wLlxiJGLGJItUtoalT0Y905p1F9yzhdl8tSZCWwjMDNCSuVSKbd4AjqjNMI+xXCHz6aqTOVTjPcW&#10;JTK5tDe2raNQ6n2UdvNpTFkP+JGBoe5MQepX/dD4sZcrarZocaBhS6KXFy3acCliuhYBa4HWYdXT&#10;FQ5tCHTTTuJsTeHz3+4zHtMKLWcd1qzmDu8AZ+aNwxTnjRyFMAqrUXB39ozQg0M8IV4WEQYhmVHU&#10;gexH7P8yx4BKOIlINU+jeJaGVcf7IdVyWUDYOy/SpbvxMrsuPffLu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q9YVz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AD32F3" w:rsidRDefault="001706CE">
                    <w:pPr>
                      <w:pStyle w:val="a4"/>
                      <w:ind w:firstLine="360"/>
                    </w:pPr>
                    <w:r>
                      <w:t>—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373" w:rsidRDefault="00E40373">
      <w:pPr>
        <w:ind w:firstLine="600"/>
      </w:pPr>
      <w:r>
        <w:separator/>
      </w:r>
    </w:p>
  </w:footnote>
  <w:footnote w:type="continuationSeparator" w:id="0">
    <w:p w:rsidR="00E40373" w:rsidRDefault="00E40373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F3" w:rsidRDefault="00AD32F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F3" w:rsidRDefault="00AD32F3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F3" w:rsidRDefault="00AD32F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84A"/>
    <w:rsid w:val="000B58F8"/>
    <w:rsid w:val="001706CE"/>
    <w:rsid w:val="00293790"/>
    <w:rsid w:val="00395C24"/>
    <w:rsid w:val="003A2FE5"/>
    <w:rsid w:val="00460266"/>
    <w:rsid w:val="004C584A"/>
    <w:rsid w:val="00733113"/>
    <w:rsid w:val="00756BD2"/>
    <w:rsid w:val="008E0CBD"/>
    <w:rsid w:val="00AD32F3"/>
    <w:rsid w:val="00C0623E"/>
    <w:rsid w:val="00DB12A8"/>
    <w:rsid w:val="00E177C8"/>
    <w:rsid w:val="00E40373"/>
    <w:rsid w:val="00FE0E74"/>
    <w:rsid w:val="022C689A"/>
    <w:rsid w:val="02A33F2E"/>
    <w:rsid w:val="0311267D"/>
    <w:rsid w:val="054B711F"/>
    <w:rsid w:val="06141C07"/>
    <w:rsid w:val="099512B1"/>
    <w:rsid w:val="0AAE262A"/>
    <w:rsid w:val="0AF3628F"/>
    <w:rsid w:val="0C6B3193"/>
    <w:rsid w:val="0C77475C"/>
    <w:rsid w:val="0F8265C7"/>
    <w:rsid w:val="0F8544F0"/>
    <w:rsid w:val="106B4B1A"/>
    <w:rsid w:val="11BE26C6"/>
    <w:rsid w:val="131D0FEF"/>
    <w:rsid w:val="1990114D"/>
    <w:rsid w:val="1BD25A4D"/>
    <w:rsid w:val="1F3F2BB5"/>
    <w:rsid w:val="22931747"/>
    <w:rsid w:val="23BE3486"/>
    <w:rsid w:val="272C6DB9"/>
    <w:rsid w:val="2B2160A9"/>
    <w:rsid w:val="2E063F5F"/>
    <w:rsid w:val="2EB57234"/>
    <w:rsid w:val="309E7FE2"/>
    <w:rsid w:val="3269611B"/>
    <w:rsid w:val="327E1E9E"/>
    <w:rsid w:val="342E4EBF"/>
    <w:rsid w:val="351837F2"/>
    <w:rsid w:val="38A01317"/>
    <w:rsid w:val="3E0B6E71"/>
    <w:rsid w:val="3E170851"/>
    <w:rsid w:val="3F073ADC"/>
    <w:rsid w:val="42813BA5"/>
    <w:rsid w:val="43CA332A"/>
    <w:rsid w:val="45C217AF"/>
    <w:rsid w:val="4970227E"/>
    <w:rsid w:val="4D901140"/>
    <w:rsid w:val="4F9B4EE8"/>
    <w:rsid w:val="50447FC0"/>
    <w:rsid w:val="50464E42"/>
    <w:rsid w:val="509F7039"/>
    <w:rsid w:val="516C5A20"/>
    <w:rsid w:val="56B714EC"/>
    <w:rsid w:val="575D2213"/>
    <w:rsid w:val="57FB5D50"/>
    <w:rsid w:val="580F7106"/>
    <w:rsid w:val="59292657"/>
    <w:rsid w:val="5B3607F9"/>
    <w:rsid w:val="5B7E2634"/>
    <w:rsid w:val="5C4F3634"/>
    <w:rsid w:val="5ED3463E"/>
    <w:rsid w:val="680C5410"/>
    <w:rsid w:val="6C360C72"/>
    <w:rsid w:val="709541F4"/>
    <w:rsid w:val="71E02960"/>
    <w:rsid w:val="773872EC"/>
    <w:rsid w:val="7844663E"/>
    <w:rsid w:val="796F170E"/>
    <w:rsid w:val="7AE2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2894E5"/>
  <w15:docId w15:val="{2C55E92D-8528-4E90-B8E7-0619DD36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ind w:firstLineChars="200" w:firstLine="200"/>
    </w:pPr>
    <w:rPr>
      <w:rFonts w:ascii="仿宋" w:eastAsia="仿宋" w:cs="仿宋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Subtitle"/>
    <w:basedOn w:val="a"/>
    <w:next w:val="a"/>
    <w:qFormat/>
    <w:pPr>
      <w:outlineLvl w:val="1"/>
    </w:pPr>
    <w:rPr>
      <w:rFonts w:ascii="楷体" w:eastAsia="楷体" w:cs="楷体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/>
      <w:kern w:val="0"/>
      <w:sz w:val="24"/>
      <w:szCs w:val="24"/>
    </w:rPr>
  </w:style>
  <w:style w:type="paragraph" w:styleId="a8">
    <w:name w:val="Title"/>
    <w:next w:val="a6"/>
    <w:qFormat/>
    <w:pPr>
      <w:spacing w:line="600" w:lineRule="exact"/>
      <w:jc w:val="center"/>
      <w:outlineLvl w:val="0"/>
    </w:pPr>
    <w:rPr>
      <w:rFonts w:ascii="方正小标宋简体" w:eastAsia="方正小标宋简体"/>
      <w:bCs/>
      <w:kern w:val="36"/>
      <w:sz w:val="36"/>
      <w:szCs w:val="36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paragraph" w:customStyle="1" w:styleId="ab">
    <w:name w:val="版头"/>
    <w:next w:val="ac"/>
    <w:autoRedefine/>
    <w:qFormat/>
    <w:pPr>
      <w:jc w:val="both"/>
    </w:pPr>
    <w:rPr>
      <w:rFonts w:ascii="黑体" w:eastAsia="黑体" w:cs="黑体"/>
      <w:bCs/>
      <w:kern w:val="36"/>
      <w:sz w:val="30"/>
      <w:szCs w:val="30"/>
    </w:rPr>
  </w:style>
  <w:style w:type="paragraph" w:customStyle="1" w:styleId="ac">
    <w:name w:val="主体标题"/>
    <w:basedOn w:val="a8"/>
    <w:autoRedefine/>
    <w:qFormat/>
    <w:pPr>
      <w:textAlignment w:val="baseline"/>
    </w:pPr>
    <w:rPr>
      <w:rFonts w:cs="方正小标宋简体"/>
      <w:snapToGrid w:val="0"/>
      <w:kern w:val="0"/>
    </w:rPr>
  </w:style>
  <w:style w:type="paragraph" w:customStyle="1" w:styleId="ad">
    <w:name w:val="文号"/>
    <w:next w:val="ae"/>
    <w:autoRedefine/>
    <w:qFormat/>
    <w:pPr>
      <w:spacing w:beforeLines="30" w:before="30"/>
      <w:ind w:leftChars="100" w:left="100" w:rightChars="100" w:right="100"/>
    </w:pPr>
    <w:rPr>
      <w:rFonts w:ascii="仿宋" w:eastAsia="仿宋" w:cs="仿宋"/>
      <w:bCs/>
      <w:kern w:val="36"/>
      <w:sz w:val="30"/>
      <w:szCs w:val="30"/>
    </w:rPr>
  </w:style>
  <w:style w:type="paragraph" w:customStyle="1" w:styleId="ae">
    <w:name w:val="一级标题"/>
    <w:basedOn w:val="a"/>
    <w:next w:val="a"/>
    <w:autoRedefine/>
    <w:qFormat/>
    <w:rPr>
      <w:rFonts w:ascii="黑体" w:eastAsia="黑体"/>
      <w:snapToGrid w:val="0"/>
      <w:kern w:val="0"/>
    </w:rPr>
  </w:style>
  <w:style w:type="paragraph" w:customStyle="1" w:styleId="af">
    <w:name w:val="主送机关"/>
    <w:next w:val="a3"/>
    <w:autoRedefine/>
    <w:qFormat/>
    <w:pPr>
      <w:wordWrap w:val="0"/>
      <w:ind w:firstLineChars="200" w:firstLine="200"/>
      <w:jc w:val="right"/>
    </w:pPr>
    <w:rPr>
      <w:rFonts w:ascii="仿宋" w:eastAsia="仿宋" w:cs="仿宋"/>
      <w:kern w:val="2"/>
      <w:sz w:val="30"/>
      <w:szCs w:val="30"/>
    </w:rPr>
  </w:style>
  <w:style w:type="paragraph" w:styleId="af0">
    <w:name w:val="No Spacing"/>
    <w:next w:val="a6"/>
    <w:autoRedefine/>
    <w:qFormat/>
    <w:pPr>
      <w:jc w:val="both"/>
    </w:pPr>
    <w:rPr>
      <w:rFonts w:ascii="黑体" w:eastAsia="黑体" w:cs="黑体"/>
      <w:kern w:val="2"/>
      <w:sz w:val="28"/>
      <w:szCs w:val="28"/>
    </w:rPr>
  </w:style>
  <w:style w:type="paragraph" w:customStyle="1" w:styleId="af1">
    <w:name w:val="版记"/>
    <w:next w:val="af2"/>
    <w:autoRedefine/>
    <w:qFormat/>
    <w:pPr>
      <w:ind w:leftChars="100" w:left="400" w:rightChars="100" w:right="100" w:hangingChars="300" w:hanging="300"/>
    </w:pPr>
    <w:rPr>
      <w:rFonts w:ascii="仿宋" w:eastAsia="仿宋" w:cs="仿宋"/>
      <w:bCs/>
      <w:kern w:val="36"/>
      <w:sz w:val="28"/>
      <w:szCs w:val="28"/>
    </w:rPr>
  </w:style>
  <w:style w:type="paragraph" w:styleId="af2">
    <w:name w:val="List Paragraph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151</Words>
  <Characters>867</Characters>
  <Application>Microsoft Office Word</Application>
  <DocSecurity>0</DocSecurity>
  <Lines>7</Lines>
  <Paragraphs>2</Paragraphs>
  <ScaleCrop>false</ScaleCrop>
  <Company>CSLO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概率处</cp:lastModifiedBy>
  <cp:revision>7</cp:revision>
  <cp:lastPrinted>2025-11-18T09:45:00Z</cp:lastPrinted>
  <dcterms:created xsi:type="dcterms:W3CDTF">2025-08-15T07:41:00Z</dcterms:created>
  <dcterms:modified xsi:type="dcterms:W3CDTF">2026-01-21T06:30:00Z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eyJoZGlkIjoiOTBmZDQxMzEzOWQyNTQzYTg0NjY5ZTYyYzUxMDI5ZDciLCJ1c2VySWQiOiIzMDQ1OTgwODgifQ==</vt:lpwstr>
  </property>
  <property fmtid="{D5CDD505-2E9C-101B-9397-08002B2CF9AE}" pid="4" name="ICV">
    <vt:lpwstr>6E1ECF7E33EF450E8F33FEDB1775F56B_13</vt:lpwstr>
  </property>
</Properties>
</file>